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9F" w:rsidRPr="000D5E9F" w:rsidRDefault="000D5E9F" w:rsidP="000D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F8753F" wp14:editId="4EB6E9D9">
            <wp:extent cx="3329305" cy="2210435"/>
            <wp:effectExtent l="0" t="0" r="4445" b="0"/>
            <wp:docPr id="1" name="Рисунок 1" descr="http://www.rcmm.ru/images/thumb/92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cmm.ru/images/thumb/928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E9F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 wp14:anchorId="641B1BF5" wp14:editId="7F0C77BE">
            <wp:extent cx="151130" cy="151130"/>
            <wp:effectExtent l="0" t="0" r="1270" b="1270"/>
            <wp:docPr id="2" name="Рисунок 2" descr="Версия для печати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ерсия для печати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E9F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 wp14:anchorId="1C5AA9E3" wp14:editId="5D3438AA">
            <wp:extent cx="151130" cy="151130"/>
            <wp:effectExtent l="0" t="0" r="1270" b="1270"/>
            <wp:docPr id="3" name="Рисунок 3" descr="Комментар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ментар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9F" w:rsidRPr="000D5E9F" w:rsidRDefault="000D5E9F" w:rsidP="000D5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5E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Саморегулирование Власть</w:t>
      </w:r>
    </w:p>
    <w:p w:rsidR="000D5E9F" w:rsidRPr="000D5E9F" w:rsidRDefault="000D5E9F" w:rsidP="000D5E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Январь-2014</w:t>
      </w:r>
    </w:p>
    <w:p w:rsidR="000D5E9F" w:rsidRPr="000D5E9F" w:rsidRDefault="000D5E9F" w:rsidP="000D5E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ЧИТАТЬ СВЕЖИЙ НОМЕР</w:t>
      </w:r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2" w:history="1">
        <w:r w:rsidRPr="000D5E9F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Февраль-2014</w:t>
        </w:r>
      </w:hyperlink>
    </w:p>
    <w:p w:rsidR="000D5E9F" w:rsidRPr="000D5E9F" w:rsidRDefault="000D5E9F" w:rsidP="000D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9F">
        <w:rPr>
          <w:rFonts w:ascii="Courier New" w:eastAsia="Times New Roman" w:hAnsi="Courier New" w:cs="Courier New"/>
          <w:sz w:val="20"/>
          <w:szCs w:val="20"/>
          <w:lang w:eastAsia="ru-RU"/>
        </w:rPr>
        <w:t>Юрий Мхитарян</w:t>
      </w:r>
    </w:p>
    <w:p w:rsidR="000D5E9F" w:rsidRPr="000D5E9F" w:rsidRDefault="000D5E9F" w:rsidP="000D5E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0D5E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Компфонды</w:t>
      </w:r>
      <w:proofErr w:type="spellEnd"/>
      <w:r w:rsidRPr="000D5E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СРО превращаются… </w:t>
      </w:r>
      <w:proofErr w:type="gramStart"/>
      <w:r w:rsidRPr="000D5E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превращаются</w:t>
      </w:r>
      <w:proofErr w:type="gramEnd"/>
      <w:r w:rsidRPr="000D5E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… в пшик!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Отзыв лицензий у ряда российских банков — ОАО «Пушкино», ООО КБ «Объединенный банк развития», ОАО КБ «Мастер—Банк» и пр. (всего 14) — снова поставил вопросы о компенсационных фондах саморегулируемых организаций, которые размещены в российских банках. Как сегодня обеспечивается законодательное регулирование порядка размещения и управления компенсационными фондами? Так кто же несет ответственность за сохранность 80 </w:t>
      </w:r>
      <w:proofErr w:type="gramStart"/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млрд</w:t>
      </w:r>
      <w:proofErr w:type="gramEnd"/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руб., ориентировочно составляющих компенсационные фонды саморегулируемых организаций в сферах изысканий, проектирования, строительства?</w:t>
      </w: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EDD316" wp14:editId="48C7A6D8">
            <wp:extent cx="6666865" cy="2787650"/>
            <wp:effectExtent l="0" t="0" r="635" b="0"/>
            <wp:docPr id="4" name="Рисунок 4" descr="http://www.rcmm.ru/images/origin/92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cmm.ru/images/origin/928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российскому законодательству саморегулируемые организации (СРО) в области строительства, проектирования и изысканий обязаны держать средства компенсационных фондов в российских банках. Использовать эти средства для текущей деятельности нельзя — и таким образом, из оборота многоотраслевого строительного комплекса выведено около 80 </w:t>
      </w:r>
      <w:proofErr w:type="gram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же причине государство, которое не помогает СРО в их деятельности, обязало держать такие деньги в банках? Может быть, это «плата» за предоставленную возможность осуществления деятельности по созданию гражданского общества или обеспечение безопасности? Получается, что саморегулируемые организации стройкомплекса законодательно поставлены в более сложную зависимость от деятельности банков, чем другие участники рынка.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Компенсационные фонды СРО стройкомплекса участвуют в достижении коммерческих целей российских кредитных учреждений, получении ими сверхприбылей. Но как СРО могут получить достоверную информацию финансовой отчетности и деятельности кредитных организаций, повлиять на их эффективность, не имея доступа к информационным каналам, системе управления, аналитическому материалу, планам и отчетам о деятельности кредитных организаций?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Четырехлетняя практика саморегулирования стройкомплекса показала, что из способов дополнительной имущественной ответственности СРО перед потребителями и иными лицами — создание системы личного или коллективного страхования и формирование компенсационного фонда — последний способ оказался за эти годы невостребованным.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538ABE" wp14:editId="59FE3DDD">
            <wp:extent cx="6666865" cy="2636520"/>
            <wp:effectExtent l="0" t="0" r="635" b="0"/>
            <wp:docPr id="5" name="Рисунок 5" descr="http://www.rcmm.ru/images/origin/9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cmm.ru/images/origin/928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страхованием все обстоит гораздо лучше. По оценке экспертов, страховые премии, собранные страховыми компаниями за 4 года, составили 2 </w:t>
      </w:r>
      <w:proofErr w:type="gram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а выплаты по страховым случаям вследствие причинения вреда на объектах капитального строительства составили 3—5% от этой суммы. О чем это говорит?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это еще одно дополнительное подтверждение положительной роли системы саморегулирования стройкомплекса как инструмента обеспечения безопасности.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это подтверждение вспомогательной роли компенсационного фонда в создании дополнительной имущественной ответственности.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роль компенсационных фондов саморегулируемых организаций стройкомплекса сводится к оказанию поддержки российской кредитной системы.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В-четвертых, наблюдается перекос — система саморегулирования стройкомплекса поддерживает российскую систему кредитных организаций, а российские банки не поддерживают систему саморегулирования стройкомплекса.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В-пятых, все это свидетельствует о том, что в управлении экономикой и в системе правовых отношений </w:t>
      </w:r>
      <w:proofErr w:type="gram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гармонизировать с общими принципами развития и управления современной экономикой.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5294FC" wp14:editId="3A2A711F">
            <wp:extent cx="6666865" cy="2903220"/>
            <wp:effectExtent l="0" t="0" r="635" b="0"/>
            <wp:docPr id="6" name="Рисунок 6" descr="http://www.rcmm.ru/images/origin/92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rcmm.ru/images/origin/928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эти задачи, требующие первоочередного решения.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13 Федерального закона «О саморегулируемых организациях» и статьям 55.4, 55.16, 60 </w:t>
      </w:r>
      <w:proofErr w:type="spell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саморегулируемые организации формируют компенсационные фонды. Компенсационные фонды саморегулируемых организаций имеют особый правовой режим и формируются в целях обеспечения имущественной ответственности членов саморегулируемых организаций перед потребителями произведенных ими товаров (работ, услуг) и иными лицами.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законодательством, в частности, требованиями ч. 4 ст. 55.16 Градостроительного кодекса РФ, в целях сохранения и увеличения средств компенсационного фонда саморегулируемые организации стройкомплекса обязаны размещать их только в российских банках.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значимость и важность компенсационного фонда в системе юридической ответственности изыскателей, проектировщиков и строителей несомненна. Наличие компенсационного фонда является специальной экономической мерой в целях обеспечения безопасности.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B9B5A" wp14:editId="52D39161">
            <wp:extent cx="6666865" cy="2689860"/>
            <wp:effectExtent l="0" t="0" r="635" b="0"/>
            <wp:docPr id="7" name="Рисунок 7" descr="http://www.rcmm.ru/images/origin/92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rcmm.ru/images/origin/929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силу особого экономико—правового режима компенсационный фонд не находится в свободном распоряжении СРО и не используется для получения дохода. СРО обязаны размещать компенсационные фонды в российских банках, и эти средства используется банками для достижения их коммерческих целей и получения прибыли. При этом СРО не имеют никакой законодательной и фактической возможности влиять на работу банков с размещенными средствами компенсационных фондов.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уменьшения размеров компенсационного фонда из-за выплат третьим лицам он подлежит восстановлению в 10—</w:t>
      </w:r>
      <w:proofErr w:type="spell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 Потеря средств компенсационного фонда саморегулируемой организацией или невозможность распоряжаться им в 10—</w:t>
      </w:r>
      <w:proofErr w:type="spell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 вине российских кредитных учреждений недопустима. Средства компенсационных фондов должны быть доступны СРО на всем протяжении существования банков, в которых они размещены, до внесения записи в ЕГРЮЛ об их ликвидации.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законодательном уровне должна обеспечиваться возможность их перемещения СРО без потерь в другие российские банки в любое время, вне очереди и вне зависимости от состояния кредитной организации (лишена ли организация лицензии, назначена ли временная администрация, введено ли оздоровление организации или она уже признана банкротом и начато конкурсное производство).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962E0" wp14:editId="7EA302F6">
            <wp:extent cx="6666865" cy="2397125"/>
            <wp:effectExtent l="0" t="0" r="635" b="3175"/>
            <wp:docPr id="8" name="Рисунок 8" descr="http://www.rcmm.ru/images/origin/92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cmm.ru/images/origin/929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российская кредитная система не способна это обеспечить, то требования к СРО по обеспечению хранения компенсационных фондов на счетах российских кредитных учреждений не соразмерны. СРО и их члены не могут и не должны нести какую-либо ответственность за их сохранность и обязательства по восстановлению.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20 строительных СРО разместили в ОАО КБ «Мастер—Банк» на депозите средства своих компенсационных фондов, полагаясь на стабильность и надежность банка с более чем 20—летней историей и на достоверность сведений о финансовом и правовом положении банка, размещаемых на официальном сайте Банка России и в «Вестнике Банка России», ответственность которого за происходящее в соответствующем важнейшем секторе российской экономики </w:t>
      </w:r>
      <w:proofErr w:type="spell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</w:t>
      </w:r>
      <w:proofErr w:type="gram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</w:t>
      </w:r>
      <w:proofErr w:type="spell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складывающаяся в «</w:t>
      </w:r>
      <w:proofErr w:type="gram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Мастер—Банке</w:t>
      </w:r>
      <w:proofErr w:type="gram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настоящее время ставит под угрозу возможность выполнения целым рядов добросовестных СРО своих обязательств перед потерпевшими и прочими лицами.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отметить, что формирование компенсационного фонда, как показала четырехлетняя практика саморегулирования в строительной отрасли, не основное средство обеспечения дополнительной имущественной ответственности. Но в Градостроительном кодексе Российской Федерации (ст. 55.4, 55.16, 55.19) почему-то главный упор в получении и последующем сохранении некоммерческой организацией статуса СРО делается не на страхование, а на формирование и </w:t>
      </w: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сохранение компенсационного фонда, эффективность участия которого в системе компенсации вреда не доказана, в отличие от страхования.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255BA" wp14:editId="1B1FB5FC">
            <wp:extent cx="6666865" cy="2725420"/>
            <wp:effectExtent l="0" t="0" r="635" b="0"/>
            <wp:docPr id="9" name="Рисунок 9" descr="http://www.rcmm.ru/images/origin/92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rcmm.ru/images/origin/929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Полагаем, что известные ситуации с банками «Пушкино», «Объединенный банк развития», «Мастер—Банк» и пр. кредитными организациями, утратившими лицензии и имевшими в своих депозитах средства компенсационных фондов более чем трех десятков СРО, требуют незамедлительной реакции со стороны как исполнительных, так и законодательных органов власти страны. Совершенно очевидно, что назрела необходимость срочного внесения соответствующих изменений в действующее законодательство, направленных на защиту субъектов строительной отрасли, а также ее потребителей.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Необходимо внести изменения в статью 55.16 </w:t>
      </w:r>
      <w:proofErr w:type="spell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(дополнить статью новым абзацем):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Кредитные организации несут всю полноту ответственности за сохранность и полный возврат средств компенсационных фондов, размещенных в этих кредитных организациях.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соответствующие изменения в статьи 55.4, 55.16, 55.19 ГСК РФ и устранить возможность исключения из государственного реестра саморегулируемых организаций добросовестные саморегулируемые организации, которые утратили средства компенсационных фондов по вине кредитных организаций, при обязательном наличии у них системы страхования гражданской ответственности перед третьими лицами как альтернативного способа обеспечения ответственности. При этом страховая сумма должна быть не менее размера соответствующего компенсационного фонда, установленного законом.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Внести изменения в статьи 55.16, 55.19 ГСК РФ в части установления ответственности кредитных организаций, по вине которых произошло уменьшение компенсационных фондов, размещенных на депозитных счетах, и определить разумные сроки для восстановления кредитными организациями компенсационных фондов саморегулируемых организаций при наличии у них системы страхования гражданской ответственности перед третьими лицами.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статьи 21, 22, 22.1 Федерального закона «О несостоятельности (банкротстве) кредитных организаций» и статью 20 Федерального закона «О банках и банковской деятельности» в части предоставления временной администрации права совершения сделок, связанных с расходованием денежных средств и иным отчуждением имущества кредитной организации во </w:t>
      </w: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внеочередном порядке по ее обязательствам перед СРО, вытекающим из размещения в кредитной организации средств компенсационных фондов</w:t>
      </w:r>
      <w:proofErr w:type="gram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изменения в статью 50.36 Федерального закона «О несостоятельности (банкротстве) кредитных организаций» в части отнесения требований о возврате средств компенсационных фондов СРО к внеочередным (текущим) требованиям или к требованиям первой очереди, так как указанные средства направлены на обеспечение ответственности СРО и их членов за причинение вреда их жизни или здоровью.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Внести изменения в статью 50.40 Федерального закона «О несостоятельности (банкротстве) кредитных организаций» в части неприменения в отношении требований по возврату средств компенсационных фондов СРО, размещенных в кредитных организациях, принципа </w:t>
      </w:r>
      <w:proofErr w:type="gramStart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пропорциональности удовлетворения требований кредиторов одной очереди</w:t>
      </w:r>
      <w:proofErr w:type="gramEnd"/>
      <w:r w:rsidRPr="000D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применения принципа первоочередности такого удовлетворения указанных требований. </w:t>
      </w:r>
    </w:p>
    <w:p w:rsidR="000D5E9F" w:rsidRPr="000D5E9F" w:rsidRDefault="000D5E9F" w:rsidP="000D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Юрий Мхитарян</w:t>
      </w:r>
      <w:r w:rsidRPr="000D5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Председатель Комитета по строительству объектов связи, телекоммуникаций и информационных технологий Национального объединения строителей, Генеральный директор НП СРО «СтройСвязьТелеком», д.э.н., академик Международной академии информатизации</w:t>
      </w:r>
    </w:p>
    <w:p w:rsidR="00A04934" w:rsidRDefault="00A04934"/>
    <w:sectPr w:rsidR="00A04934" w:rsidSect="00347518">
      <w:headerReference w:type="default" r:id="rId19"/>
      <w:pgSz w:w="11906" w:h="16838"/>
      <w:pgMar w:top="1134" w:right="850" w:bottom="1134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18" w:rsidRDefault="00347518" w:rsidP="00347518">
      <w:pPr>
        <w:spacing w:after="0" w:line="240" w:lineRule="auto"/>
      </w:pPr>
      <w:r>
        <w:separator/>
      </w:r>
    </w:p>
  </w:endnote>
  <w:endnote w:type="continuationSeparator" w:id="0">
    <w:p w:rsidR="00347518" w:rsidRDefault="00347518" w:rsidP="0034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18" w:rsidRDefault="00347518" w:rsidP="00347518">
      <w:pPr>
        <w:spacing w:after="0" w:line="240" w:lineRule="auto"/>
      </w:pPr>
      <w:r>
        <w:separator/>
      </w:r>
    </w:p>
  </w:footnote>
  <w:footnote w:type="continuationSeparator" w:id="0">
    <w:p w:rsidR="00347518" w:rsidRDefault="00347518" w:rsidP="0034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18" w:rsidRPr="00347518" w:rsidRDefault="00347518">
    <w:pPr>
      <w:pStyle w:val="a5"/>
      <w:rPr>
        <w:rFonts w:ascii="Brush Script MT" w:hAnsi="Brush Script MT"/>
      </w:rPr>
    </w:pPr>
    <w:r w:rsidRPr="00347518">
      <w:rPr>
        <w:rFonts w:ascii="Times New Roman" w:hAnsi="Times New Roman" w:cs="Times New Roman"/>
      </w:rPr>
      <w:t>Всероссийский</w:t>
    </w:r>
    <w:r w:rsidRPr="00347518">
      <w:rPr>
        <w:rFonts w:ascii="Brush Script MT" w:hAnsi="Brush Script MT"/>
      </w:rPr>
      <w:t xml:space="preserve"> </w:t>
    </w:r>
    <w:r w:rsidRPr="00347518">
      <w:rPr>
        <w:rFonts w:ascii="Times New Roman" w:hAnsi="Times New Roman" w:cs="Times New Roman"/>
      </w:rPr>
      <w:t>отраслевой</w:t>
    </w:r>
    <w:r w:rsidRPr="00347518">
      <w:rPr>
        <w:rFonts w:ascii="Brush Script MT" w:hAnsi="Brush Script MT"/>
      </w:rPr>
      <w:t xml:space="preserve"> </w:t>
    </w:r>
    <w:r w:rsidRPr="00347518">
      <w:rPr>
        <w:rFonts w:ascii="Times New Roman" w:hAnsi="Times New Roman" w:cs="Times New Roman"/>
      </w:rPr>
      <w:t>Интернет</w:t>
    </w:r>
    <w:r w:rsidRPr="00347518">
      <w:rPr>
        <w:rFonts w:ascii="Brush Script MT" w:hAnsi="Brush Script MT"/>
      </w:rPr>
      <w:t>-</w:t>
    </w:r>
    <w:r w:rsidRPr="00347518">
      <w:rPr>
        <w:rFonts w:ascii="Times New Roman" w:hAnsi="Times New Roman" w:cs="Times New Roman"/>
      </w:rPr>
      <w:t>журнал</w:t>
    </w:r>
    <w:r w:rsidRPr="00347518">
      <w:rPr>
        <w:rFonts w:ascii="Brush Script MT" w:hAnsi="Brush Script MT"/>
      </w:rPr>
      <w:t xml:space="preserve"> </w:t>
    </w:r>
    <w:r w:rsidRPr="00347518">
      <w:rPr>
        <w:rFonts w:ascii="Times New Roman" w:hAnsi="Times New Roman" w:cs="Times New Roman"/>
      </w:rPr>
      <w:t>СТРОИТЕЛЬСТВО</w:t>
    </w:r>
    <w:r w:rsidRPr="00347518">
      <w:rPr>
        <w:rFonts w:ascii="Brush Script MT" w:hAnsi="Brush Script MT"/>
      </w:rPr>
      <w:t>.</w:t>
    </w:r>
    <w:r w:rsidRPr="00347518">
      <w:rPr>
        <w:rFonts w:ascii="Brush Script MT" w:hAnsi="Brush Script MT"/>
        <w:lang w:val="en-US"/>
      </w:rPr>
      <w:t>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07"/>
    <w:rsid w:val="000D5E9F"/>
    <w:rsid w:val="00347518"/>
    <w:rsid w:val="00A04934"/>
    <w:rsid w:val="00A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E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518"/>
  </w:style>
  <w:style w:type="paragraph" w:styleId="a7">
    <w:name w:val="footer"/>
    <w:basedOn w:val="a"/>
    <w:link w:val="a8"/>
    <w:uiPriority w:val="99"/>
    <w:unhideWhenUsed/>
    <w:rsid w:val="0034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E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518"/>
  </w:style>
  <w:style w:type="paragraph" w:styleId="a7">
    <w:name w:val="footer"/>
    <w:basedOn w:val="a"/>
    <w:link w:val="a8"/>
    <w:uiPriority w:val="99"/>
    <w:unhideWhenUsed/>
    <w:rsid w:val="0034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mm.ru/content/topics/425_print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rcmm.ru/content/15.html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rcmm.ru/content/topics/425.html#com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Reshetova</dc:creator>
  <cp:keywords/>
  <dc:description/>
  <cp:lastModifiedBy>Alena Reshetova</cp:lastModifiedBy>
  <cp:revision>3</cp:revision>
  <dcterms:created xsi:type="dcterms:W3CDTF">2014-02-26T08:12:00Z</dcterms:created>
  <dcterms:modified xsi:type="dcterms:W3CDTF">2014-02-26T08:16:00Z</dcterms:modified>
</cp:coreProperties>
</file>